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bookmarkStart w:colFirst="0" w:colLast="0" w:name="_heading=h.1fob9te" w:id="0"/>
      <w:bookmarkEnd w:id="0"/>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3">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4">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tl w:val="0"/>
              </w:rPr>
            </w:r>
          </w:p>
        </w:tc>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 w:val="left" w:leader="none" w:pos="-179"/>
              </w:tabs>
              <w:spacing w:after="120" w:line="240" w:lineRule="auto"/>
              <w:ind w:left="170" w:firstLine="0"/>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 w:val="left" w:leader="none" w:pos="-179"/>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C">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D">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E">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F">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21">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is entitled to or does terminate this Contract pursuant to Clause 10.4 (CCS and Buyer Termination Rights).</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w:t>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spacing w:after="240" w:line="240" w:lineRule="auto"/>
        <w:rPr>
          <w:rFonts w:ascii="Arial" w:cs="Arial" w:eastAsia="Arial" w:hAnsi="Arial"/>
          <w:color w:val="000000"/>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A to Part A: Services Levels and Service Credits Table</w:t>
      </w:r>
      <w:r w:rsidDel="00000000" w:rsidR="00000000" w:rsidRPr="00000000">
        <w:rPr>
          <w:rtl w:val="0"/>
        </w:rPr>
      </w:r>
    </w:p>
    <w:tbl>
      <w:tblPr>
        <w:tblStyle w:val="Table2"/>
        <w:tblW w:w="9330.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00"/>
        <w:gridCol w:w="3600"/>
        <w:gridCol w:w="1830"/>
        <w:gridCol w:w="2100"/>
        <w:tblGridChange w:id="0">
          <w:tblGrid>
            <w:gridCol w:w="1800"/>
            <w:gridCol w:w="3600"/>
            <w:gridCol w:w="1830"/>
            <w:gridCol w:w="2100"/>
          </w:tblGrid>
        </w:tblGridChange>
      </w:tblGrid>
      <w:tr>
        <w:trPr>
          <w:cantSplit w:val="0"/>
          <w:trHeight w:val="420" w:hRule="atLeast"/>
          <w:tblHeader w:val="0"/>
        </w:trPr>
        <w:tc>
          <w:tcPr>
            <w:gridSpan w:val="4"/>
            <w:shd w:fill="cccccc" w:val="clear"/>
          </w:tcPr>
          <w:p w:rsidR="00000000" w:rsidDel="00000000" w:rsidP="00000000" w:rsidRDefault="00000000" w:rsidRPr="00000000" w14:paraId="0000003A">
            <w:pPr>
              <w:widowControl w:val="0"/>
              <w:spacing w:after="0" w:line="240" w:lineRule="auto"/>
              <w:rPr>
                <w:rFonts w:ascii="Arial" w:cs="Arial" w:eastAsia="Arial" w:hAnsi="Arial"/>
                <w:b w:val="1"/>
              </w:rPr>
            </w:pPr>
            <w:r w:rsidDel="00000000" w:rsidR="00000000" w:rsidRPr="00000000">
              <w:rPr>
                <w:rFonts w:ascii="Arial" w:cs="Arial" w:eastAsia="Arial" w:hAnsi="Arial"/>
                <w:b w:val="1"/>
                <w:rtl w:val="0"/>
              </w:rPr>
              <w:t xml:space="preserve">Service Levels</w:t>
            </w:r>
          </w:p>
        </w:tc>
      </w:tr>
      <w:tr>
        <w:trPr>
          <w:cantSplit w:val="0"/>
          <w:tblHeader w:val="0"/>
        </w:trPr>
        <w:tc>
          <w:tcPr>
            <w:shd w:fill="cccccc" w:val="clear"/>
            <w:tcMar>
              <w:top w:w="100.0" w:type="dxa"/>
              <w:left w:w="100.0" w:type="dxa"/>
              <w:bottom w:w="100.0" w:type="dxa"/>
              <w:right w:w="100.0" w:type="dxa"/>
            </w:tcMar>
          </w:tcPr>
          <w:p w:rsidR="00000000" w:rsidDel="00000000" w:rsidP="00000000" w:rsidRDefault="00000000" w:rsidRPr="00000000" w14:paraId="0000003E">
            <w:pPr>
              <w:widowControl w:val="0"/>
              <w:spacing w:after="0" w:line="240" w:lineRule="auto"/>
              <w:rPr>
                <w:rFonts w:ascii="Arial" w:cs="Arial" w:eastAsia="Arial" w:hAnsi="Arial"/>
                <w:b w:val="1"/>
              </w:rPr>
            </w:pPr>
            <w:r w:rsidDel="00000000" w:rsidR="00000000" w:rsidRPr="00000000">
              <w:rPr>
                <w:rFonts w:ascii="Arial" w:cs="Arial" w:eastAsia="Arial" w:hAnsi="Arial"/>
                <w:b w:val="1"/>
                <w:rtl w:val="0"/>
              </w:rPr>
              <w:t xml:space="preserve">Service Area</w:t>
            </w:r>
          </w:p>
        </w:tc>
        <w:tc>
          <w:tcPr>
            <w:shd w:fill="cccccc" w:val="clear"/>
            <w:tcMar>
              <w:top w:w="100.0" w:type="dxa"/>
              <w:left w:w="100.0" w:type="dxa"/>
              <w:bottom w:w="100.0" w:type="dxa"/>
              <w:right w:w="100.0" w:type="dxa"/>
            </w:tcMar>
          </w:tcPr>
          <w:p w:rsidR="00000000" w:rsidDel="00000000" w:rsidP="00000000" w:rsidRDefault="00000000" w:rsidRPr="00000000" w14:paraId="0000003F">
            <w:pPr>
              <w:widowControl w:val="0"/>
              <w:spacing w:after="0" w:line="240" w:lineRule="auto"/>
              <w:rPr>
                <w:rFonts w:ascii="Arial" w:cs="Arial" w:eastAsia="Arial" w:hAnsi="Arial"/>
                <w:b w:val="1"/>
              </w:rPr>
            </w:pPr>
            <w:r w:rsidDel="00000000" w:rsidR="00000000" w:rsidRPr="00000000">
              <w:rPr>
                <w:rFonts w:ascii="Arial" w:cs="Arial" w:eastAsia="Arial" w:hAnsi="Arial"/>
                <w:b w:val="1"/>
                <w:rtl w:val="0"/>
              </w:rPr>
              <w:t xml:space="preserve">KPI/SLA description</w:t>
            </w:r>
          </w:p>
        </w:tc>
        <w:tc>
          <w:tcPr>
            <w:shd w:fill="cccccc" w:val="clear"/>
            <w:tcMar>
              <w:top w:w="100.0" w:type="dxa"/>
              <w:left w:w="100.0" w:type="dxa"/>
              <w:bottom w:w="100.0" w:type="dxa"/>
              <w:right w:w="100.0" w:type="dxa"/>
            </w:tcMar>
          </w:tcPr>
          <w:p w:rsidR="00000000" w:rsidDel="00000000" w:rsidP="00000000" w:rsidRDefault="00000000" w:rsidRPr="00000000" w14:paraId="00000040">
            <w:pPr>
              <w:widowControl w:val="0"/>
              <w:spacing w:after="0" w:line="240" w:lineRule="auto"/>
              <w:rPr>
                <w:rFonts w:ascii="Arial" w:cs="Arial" w:eastAsia="Arial" w:hAnsi="Arial"/>
                <w:b w:val="1"/>
              </w:rPr>
            </w:pPr>
            <w:r w:rsidDel="00000000" w:rsidR="00000000" w:rsidRPr="00000000">
              <w:rPr>
                <w:rFonts w:ascii="Arial" w:cs="Arial" w:eastAsia="Arial" w:hAnsi="Arial"/>
                <w:b w:val="1"/>
                <w:rtl w:val="0"/>
              </w:rPr>
              <w:t xml:space="preserve">Service Level Performance Measure</w:t>
            </w:r>
          </w:p>
        </w:tc>
        <w:tc>
          <w:tcPr>
            <w:shd w:fill="cccccc" w:val="clear"/>
            <w:tcMar>
              <w:top w:w="100.0" w:type="dxa"/>
              <w:left w:w="100.0" w:type="dxa"/>
              <w:bottom w:w="100.0" w:type="dxa"/>
              <w:right w:w="100.0" w:type="dxa"/>
            </w:tcMar>
          </w:tcPr>
          <w:p w:rsidR="00000000" w:rsidDel="00000000" w:rsidP="00000000" w:rsidRDefault="00000000" w:rsidRPr="00000000" w14:paraId="00000041">
            <w:pPr>
              <w:widowControl w:val="0"/>
              <w:spacing w:after="0" w:line="240" w:lineRule="auto"/>
              <w:rPr>
                <w:rFonts w:ascii="Arial" w:cs="Arial" w:eastAsia="Arial" w:hAnsi="Arial"/>
                <w:b w:val="1"/>
              </w:rPr>
            </w:pPr>
            <w:r w:rsidDel="00000000" w:rsidR="00000000" w:rsidRPr="00000000">
              <w:rPr>
                <w:rFonts w:ascii="Arial" w:cs="Arial" w:eastAsia="Arial" w:hAnsi="Arial"/>
                <w:b w:val="1"/>
                <w:rtl w:val="0"/>
              </w:rPr>
              <w:t xml:space="preserve">Service Credit for each Service Period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2">
            <w:pPr>
              <w:spacing w:after="0" w:lineRule="auto"/>
              <w:rPr>
                <w:rFonts w:ascii="Arial" w:cs="Arial" w:eastAsia="Arial" w:hAnsi="Arial"/>
              </w:rPr>
            </w:pPr>
            <w:r w:rsidDel="00000000" w:rsidR="00000000" w:rsidRPr="00000000">
              <w:rPr>
                <w:rFonts w:ascii="Arial" w:cs="Arial" w:eastAsia="Arial" w:hAnsi="Arial"/>
                <w:rtl w:val="0"/>
              </w:rPr>
              <w:t xml:space="preserve">Quality of Relationships</w:t>
            </w:r>
          </w:p>
        </w:tc>
        <w:tc>
          <w:tcPr>
            <w:shd w:fill="auto" w:val="clear"/>
            <w:tcMar>
              <w:top w:w="100.0" w:type="dxa"/>
              <w:left w:w="100.0" w:type="dxa"/>
              <w:bottom w:w="100.0" w:type="dxa"/>
              <w:right w:w="100.0" w:type="dxa"/>
            </w:tcMar>
          </w:tcPr>
          <w:p w:rsidR="00000000" w:rsidDel="00000000" w:rsidP="00000000" w:rsidRDefault="00000000" w:rsidRPr="00000000" w14:paraId="00000043">
            <w:pPr>
              <w:spacing w:after="0" w:lineRule="auto"/>
              <w:rPr>
                <w:rFonts w:ascii="Arial" w:cs="Arial" w:eastAsia="Arial" w:hAnsi="Arial"/>
              </w:rPr>
            </w:pPr>
            <w:r w:rsidDel="00000000" w:rsidR="00000000" w:rsidRPr="00000000">
              <w:rPr>
                <w:rFonts w:ascii="Arial" w:cs="Arial" w:eastAsia="Arial" w:hAnsi="Arial"/>
                <w:rtl w:val="0"/>
              </w:rPr>
              <w:t xml:space="preserve">The Inquiry Secretariat is to be notified of any issues* with working relationships between Inquiry Secretariat and Supplier teams within 12 working days.</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95-98%</w:t>
            </w:r>
          </w:p>
          <w:p w:rsidR="00000000" w:rsidDel="00000000" w:rsidP="00000000" w:rsidRDefault="00000000" w:rsidRPr="00000000" w14:paraId="00000045">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6">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7">
            <w:pPr>
              <w:widowControl w:val="0"/>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0"/>
              <w:spacing w:after="0" w:line="24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9">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A">
            <w:pPr>
              <w:spacing w:after="0" w:lineRule="auto"/>
              <w:rPr>
                <w:rFonts w:ascii="Arial" w:cs="Arial" w:eastAsia="Arial" w:hAnsi="Arial"/>
              </w:rPr>
            </w:pPr>
            <w:r w:rsidDel="00000000" w:rsidR="00000000" w:rsidRPr="00000000">
              <w:rPr>
                <w:rFonts w:ascii="Arial" w:cs="Arial" w:eastAsia="Arial" w:hAnsi="Arial"/>
                <w:rtl w:val="0"/>
              </w:rPr>
              <w:t xml:space="preserve">Quality of Relationships</w:t>
            </w:r>
          </w:p>
        </w:tc>
        <w:tc>
          <w:tcPr>
            <w:shd w:fill="auto" w:val="clear"/>
            <w:tcMar>
              <w:top w:w="100.0" w:type="dxa"/>
              <w:left w:w="100.0" w:type="dxa"/>
              <w:bottom w:w="100.0" w:type="dxa"/>
              <w:right w:w="100.0" w:type="dxa"/>
            </w:tcMar>
          </w:tcPr>
          <w:p w:rsidR="00000000" w:rsidDel="00000000" w:rsidP="00000000" w:rsidRDefault="00000000" w:rsidRPr="00000000" w14:paraId="0000004B">
            <w:pPr>
              <w:spacing w:after="0" w:lineRule="auto"/>
              <w:rPr>
                <w:rFonts w:ascii="Arial" w:cs="Arial" w:eastAsia="Arial" w:hAnsi="Arial"/>
              </w:rPr>
            </w:pPr>
            <w:r w:rsidDel="00000000" w:rsidR="00000000" w:rsidRPr="00000000">
              <w:rPr>
                <w:rFonts w:ascii="Arial" w:cs="Arial" w:eastAsia="Arial" w:hAnsi="Arial"/>
                <w:rtl w:val="0"/>
              </w:rPr>
              <w:t xml:space="preserve">Adjustments to working relationships within the Inquiry Secretariat/ Supplier teams following an issue* being notified to be made within 12 working days of such notification </w:t>
            </w:r>
          </w:p>
        </w:tc>
        <w:tc>
          <w:tcPr>
            <w:shd w:fill="auto" w:val="clear"/>
            <w:tcMar>
              <w:top w:w="100.0" w:type="dxa"/>
              <w:left w:w="100.0" w:type="dxa"/>
              <w:bottom w:w="100.0" w:type="dxa"/>
              <w:right w:w="100.0" w:type="dxa"/>
            </w:tcMar>
          </w:tcPr>
          <w:p w:rsidR="00000000" w:rsidDel="00000000" w:rsidP="00000000" w:rsidRDefault="00000000" w:rsidRPr="00000000" w14:paraId="0000004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95-98%</w:t>
            </w:r>
          </w:p>
        </w:tc>
        <w:tc>
          <w:tcPr>
            <w:shd w:fill="auto" w:val="clear"/>
            <w:tcMar>
              <w:top w:w="100.0" w:type="dxa"/>
              <w:left w:w="100.0" w:type="dxa"/>
              <w:bottom w:w="100.0" w:type="dxa"/>
              <w:right w:w="100.0" w:type="dxa"/>
            </w:tcMar>
          </w:tcPr>
          <w:p w:rsidR="00000000" w:rsidDel="00000000" w:rsidP="00000000" w:rsidRDefault="00000000" w:rsidRPr="00000000" w14:paraId="0000004D">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N/A</w:t>
            </w:r>
          </w:p>
        </w:tc>
      </w:tr>
      <w:tr>
        <w:trPr>
          <w:cantSplit w:val="0"/>
          <w:trHeight w:val="420" w:hRule="atLeast"/>
          <w:tblHeader w:val="0"/>
        </w:trPr>
        <w:tc>
          <w:tcPr>
            <w:gridSpan w:val="3"/>
            <w:shd w:fill="auto" w:val="clear"/>
            <w:tcMar>
              <w:top w:w="100.0" w:type="dxa"/>
              <w:left w:w="100.0" w:type="dxa"/>
              <w:bottom w:w="100.0" w:type="dxa"/>
              <w:right w:w="100.0" w:type="dxa"/>
            </w:tcMar>
          </w:tcPr>
          <w:p w:rsidR="00000000" w:rsidDel="00000000" w:rsidP="00000000" w:rsidRDefault="00000000" w:rsidRPr="00000000" w14:paraId="0000004E">
            <w:pPr>
              <w:spacing w:after="0" w:lineRule="auto"/>
              <w:rPr>
                <w:rFonts w:ascii="Arial" w:cs="Arial" w:eastAsia="Arial" w:hAnsi="Arial"/>
              </w:rPr>
            </w:pPr>
            <w:r w:rsidDel="00000000" w:rsidR="00000000" w:rsidRPr="00000000">
              <w:rPr>
                <w:rFonts w:ascii="Arial" w:cs="Arial" w:eastAsia="Arial" w:hAnsi="Arial"/>
                <w:rtl w:val="0"/>
              </w:rPr>
              <w:t xml:space="preserve">*Issues here constitute those that will have a material impact on the delivery of the requirements set out in this Statement of Requirements.</w:t>
            </w:r>
          </w:p>
        </w:tc>
        <w:tc>
          <w:tcPr>
            <w:shd w:fill="auto" w:val="clear"/>
            <w:tcMar>
              <w:top w:w="100.0" w:type="dxa"/>
              <w:left w:w="100.0" w:type="dxa"/>
              <w:bottom w:w="100.0" w:type="dxa"/>
              <w:right w:w="100.0" w:type="dxa"/>
            </w:tcMar>
          </w:tcPr>
          <w:p w:rsidR="00000000" w:rsidDel="00000000" w:rsidP="00000000" w:rsidRDefault="00000000" w:rsidRPr="00000000" w14:paraId="00000051">
            <w:pPr>
              <w:widowControl w:val="0"/>
              <w:spacing w:after="0" w:line="240" w:lineRule="auto"/>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2">
            <w:pPr>
              <w:spacing w:after="0" w:lineRule="auto"/>
              <w:rPr>
                <w:rFonts w:ascii="Arial" w:cs="Arial" w:eastAsia="Arial" w:hAnsi="Arial"/>
              </w:rPr>
            </w:pPr>
            <w:r w:rsidDel="00000000" w:rsidR="00000000" w:rsidRPr="00000000">
              <w:rPr>
                <w:rFonts w:ascii="Arial" w:cs="Arial" w:eastAsia="Arial" w:hAnsi="Arial"/>
                <w:rtl w:val="0"/>
              </w:rPr>
              <w:t xml:space="preserve">Timeliness of Work</w:t>
            </w:r>
          </w:p>
        </w:tc>
        <w:tc>
          <w:tcPr>
            <w:shd w:fill="auto" w:val="clear"/>
            <w:tcMar>
              <w:top w:w="100.0" w:type="dxa"/>
              <w:left w:w="100.0" w:type="dxa"/>
              <w:bottom w:w="100.0" w:type="dxa"/>
              <w:right w:w="100.0" w:type="dxa"/>
            </w:tcMar>
          </w:tcPr>
          <w:p w:rsidR="00000000" w:rsidDel="00000000" w:rsidP="00000000" w:rsidRDefault="00000000" w:rsidRPr="00000000" w14:paraId="00000053">
            <w:pP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R</w:t>
            </w:r>
            <w:r w:rsidDel="00000000" w:rsidR="00000000" w:rsidRPr="00000000">
              <w:rPr>
                <w:rFonts w:ascii="Arial" w:cs="Arial" w:eastAsia="Arial" w:hAnsi="Arial"/>
                <w:color w:val="000000"/>
                <w:rtl w:val="0"/>
              </w:rPr>
              <w:t xml:space="preserve">equests from the Inquiry Secretariat Key Staff* labelled ‘urgent’ must be responded to by the Supplier within 2 working days from email receipt, or as agreed with the Buyer. </w:t>
            </w:r>
          </w:p>
          <w:p w:rsidR="00000000" w:rsidDel="00000000" w:rsidP="00000000" w:rsidRDefault="00000000" w:rsidRPr="00000000" w14:paraId="00000054">
            <w:pPr>
              <w:spacing w:after="0" w:lineRule="auto"/>
              <w:rPr>
                <w:rFonts w:ascii="Arial" w:cs="Arial" w:eastAsia="Arial" w:hAnsi="Arial"/>
              </w:rPr>
            </w:pPr>
            <w:r w:rsidDel="00000000" w:rsidR="00000000" w:rsidRPr="00000000">
              <w:rPr>
                <w:rFonts w:ascii="Arial" w:cs="Arial" w:eastAsia="Arial" w:hAnsi="Arial"/>
                <w:color w:val="000000"/>
                <w:rtl w:val="0"/>
              </w:rPr>
              <w:t xml:space="preserve">For the purposes of this</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KPI “Key Staff” are only those with names listed in the KEY STAFF section of the Order Form</w:t>
            </w:r>
            <w:r w:rsidDel="00000000" w:rsidR="00000000" w:rsidRPr="00000000">
              <w:rPr>
                <w:rtl w:val="0"/>
              </w:rPr>
            </w:r>
          </w:p>
          <w:p w:rsidR="00000000" w:rsidDel="00000000" w:rsidP="00000000" w:rsidRDefault="00000000" w:rsidRPr="00000000" w14:paraId="00000055">
            <w:pPr>
              <w:spacing w:after="0" w:lineRule="auto"/>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6">
            <w:pPr>
              <w:spacing w:after="0" w:lineRule="auto"/>
              <w:rPr>
                <w:rFonts w:ascii="Arial" w:cs="Arial" w:eastAsia="Arial" w:hAnsi="Arial"/>
              </w:rPr>
            </w:pPr>
            <w:r w:rsidDel="00000000" w:rsidR="00000000" w:rsidRPr="00000000">
              <w:rPr>
                <w:rFonts w:ascii="Arial" w:cs="Arial" w:eastAsia="Arial" w:hAnsi="Arial"/>
                <w:rtl w:val="0"/>
              </w:rPr>
              <w:t xml:space="preserve">98% of email requests responded to within the deadline </w:t>
            </w:r>
          </w:p>
        </w:tc>
        <w:tc>
          <w:tcPr>
            <w:shd w:fill="auto" w:val="clear"/>
            <w:tcMar>
              <w:top w:w="100.0" w:type="dxa"/>
              <w:left w:w="100.0" w:type="dxa"/>
              <w:bottom w:w="100.0" w:type="dxa"/>
              <w:right w:w="100.0" w:type="dxa"/>
            </w:tcMar>
          </w:tcPr>
          <w:p w:rsidR="00000000" w:rsidDel="00000000" w:rsidP="00000000" w:rsidRDefault="00000000" w:rsidRPr="00000000" w14:paraId="00000057">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8">
            <w:pPr>
              <w:spacing w:after="0" w:lineRule="auto"/>
              <w:rPr>
                <w:rFonts w:ascii="Arial" w:cs="Arial" w:eastAsia="Arial" w:hAnsi="Arial"/>
              </w:rPr>
            </w:pPr>
            <w:r w:rsidDel="00000000" w:rsidR="00000000" w:rsidRPr="00000000">
              <w:rPr>
                <w:rFonts w:ascii="Arial" w:cs="Arial" w:eastAsia="Arial" w:hAnsi="Arial"/>
                <w:rtl w:val="0"/>
              </w:rPr>
              <w:t xml:space="preserve">Dealing with Complaints</w:t>
            </w:r>
          </w:p>
        </w:tc>
        <w:tc>
          <w:tcPr>
            <w:shd w:fill="auto" w:val="clear"/>
            <w:tcMar>
              <w:top w:w="100.0" w:type="dxa"/>
              <w:left w:w="100.0" w:type="dxa"/>
              <w:bottom w:w="100.0" w:type="dxa"/>
              <w:right w:w="100.0" w:type="dxa"/>
            </w:tcMar>
          </w:tcPr>
          <w:p w:rsidR="00000000" w:rsidDel="00000000" w:rsidP="00000000" w:rsidRDefault="00000000" w:rsidRPr="00000000" w14:paraId="00000059">
            <w:pPr>
              <w:spacing w:after="0" w:lineRule="auto"/>
              <w:rPr>
                <w:rFonts w:ascii="Arial" w:cs="Arial" w:eastAsia="Arial" w:hAnsi="Arial"/>
              </w:rPr>
            </w:pPr>
            <w:r w:rsidDel="00000000" w:rsidR="00000000" w:rsidRPr="00000000">
              <w:rPr>
                <w:rFonts w:ascii="Arial" w:cs="Arial" w:eastAsia="Arial" w:hAnsi="Arial"/>
                <w:rtl w:val="0"/>
              </w:rPr>
              <w:t xml:space="preserve">The Inquiry Secretariat must be notified of any complaints received by or about the Supplier within 5 working days of receipt of the complaint. </w:t>
            </w:r>
          </w:p>
          <w:p w:rsidR="00000000" w:rsidDel="00000000" w:rsidP="00000000" w:rsidRDefault="00000000" w:rsidRPr="00000000" w14:paraId="0000005A">
            <w:pPr>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5B">
            <w:pPr>
              <w:spacing w:after="0" w:lineRule="auto"/>
              <w:rPr>
                <w:rFonts w:ascii="Arial" w:cs="Arial" w:eastAsia="Arial" w:hAnsi="Arial"/>
              </w:rPr>
            </w:pPr>
            <w:r w:rsidDel="00000000" w:rsidR="00000000" w:rsidRPr="00000000">
              <w:rPr>
                <w:rFonts w:ascii="Arial" w:cs="Arial" w:eastAsia="Arial" w:hAnsi="Arial"/>
                <w:rtl w:val="0"/>
              </w:rPr>
              <w:t xml:space="preserve">For the purposes of this KPI, a “complaint” is defined as a “written complaint addressed to a Module Lead Solicitor or the STI about the conduct of a member of the module team”.</w:t>
            </w:r>
          </w:p>
        </w:tc>
        <w:tc>
          <w:tcPr>
            <w:shd w:fill="auto" w:val="clear"/>
            <w:tcMar>
              <w:top w:w="100.0" w:type="dxa"/>
              <w:left w:w="100.0" w:type="dxa"/>
              <w:bottom w:w="100.0" w:type="dxa"/>
              <w:right w:w="100.0" w:type="dxa"/>
            </w:tcMar>
          </w:tcPr>
          <w:p w:rsidR="00000000" w:rsidDel="00000000" w:rsidP="00000000" w:rsidRDefault="00000000" w:rsidRPr="00000000" w14:paraId="0000005C">
            <w:pPr>
              <w:widowControl w:val="0"/>
              <w:spacing w:after="0" w:line="240" w:lineRule="auto"/>
              <w:rPr>
                <w:rFonts w:ascii="Arial" w:cs="Arial" w:eastAsia="Arial" w:hAnsi="Arial"/>
              </w:rPr>
            </w:pPr>
            <w:r w:rsidDel="00000000" w:rsidR="00000000" w:rsidRPr="00000000">
              <w:rPr>
                <w:rFonts w:ascii="Arial" w:cs="Arial" w:eastAsia="Arial" w:hAnsi="Arial"/>
                <w:rtl w:val="0"/>
              </w:rPr>
              <w:t xml:space="preserve">100%</w:t>
            </w:r>
          </w:p>
        </w:tc>
        <w:tc>
          <w:tcPr>
            <w:shd w:fill="auto" w:val="clear"/>
            <w:tcMar>
              <w:top w:w="100.0" w:type="dxa"/>
              <w:left w:w="100.0" w:type="dxa"/>
              <w:bottom w:w="100.0" w:type="dxa"/>
              <w:right w:w="100.0" w:type="dxa"/>
            </w:tcMar>
          </w:tcPr>
          <w:p w:rsidR="00000000" w:rsidDel="00000000" w:rsidP="00000000" w:rsidRDefault="00000000" w:rsidRPr="00000000" w14:paraId="0000005D">
            <w:pPr>
              <w:spacing w:after="120" w:lineRule="auto"/>
              <w:ind w:left="95"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E">
            <w:pPr>
              <w:spacing w:after="0" w:lineRule="auto"/>
              <w:rPr>
                <w:rFonts w:ascii="Arial" w:cs="Arial" w:eastAsia="Arial" w:hAnsi="Arial"/>
              </w:rPr>
            </w:pPr>
            <w:r w:rsidDel="00000000" w:rsidR="00000000" w:rsidRPr="00000000">
              <w:rPr>
                <w:rFonts w:ascii="Arial" w:cs="Arial" w:eastAsia="Arial" w:hAnsi="Arial"/>
                <w:rtl w:val="0"/>
              </w:rPr>
              <w:t xml:space="preserve">Social Value - Sustainability</w:t>
            </w:r>
          </w:p>
        </w:tc>
        <w:tc>
          <w:tcPr>
            <w:shd w:fill="auto" w:val="clear"/>
            <w:tcMar>
              <w:top w:w="100.0" w:type="dxa"/>
              <w:left w:w="100.0" w:type="dxa"/>
              <w:bottom w:w="100.0" w:type="dxa"/>
              <w:right w:w="100.0" w:type="dxa"/>
            </w:tcMar>
          </w:tcPr>
          <w:p w:rsidR="00000000" w:rsidDel="00000000" w:rsidP="00000000" w:rsidRDefault="00000000" w:rsidRPr="00000000" w14:paraId="0000005F">
            <w:pPr>
              <w:spacing w:after="120" w:before="120" w:line="240" w:lineRule="auto"/>
              <w:jc w:val="both"/>
              <w:rPr>
                <w:rFonts w:ascii="Arial" w:cs="Arial" w:eastAsia="Arial" w:hAnsi="Arial"/>
              </w:rPr>
            </w:pPr>
            <w:r w:rsidDel="00000000" w:rsidR="00000000" w:rsidRPr="00000000">
              <w:rPr>
                <w:rFonts w:ascii="Arial" w:cs="Arial" w:eastAsia="Arial" w:hAnsi="Arial"/>
                <w:rtl w:val="0"/>
              </w:rPr>
              <w:t xml:space="preserve">The Supplier to minimise the environmental impact of the work undertaken, including working in soft copy where possible, and choosing travel by rail where this is the most time efficient method of transport.</w:t>
            </w:r>
          </w:p>
        </w:tc>
        <w:tc>
          <w:tcPr>
            <w:shd w:fill="auto" w:val="clear"/>
            <w:tcMar>
              <w:top w:w="100.0" w:type="dxa"/>
              <w:left w:w="100.0" w:type="dxa"/>
              <w:bottom w:w="100.0" w:type="dxa"/>
              <w:right w:w="100.0" w:type="dxa"/>
            </w:tcMar>
          </w:tcPr>
          <w:p w:rsidR="00000000" w:rsidDel="00000000" w:rsidP="00000000" w:rsidRDefault="00000000" w:rsidRPr="00000000" w14:paraId="00000060">
            <w:pPr>
              <w:widowControl w:val="0"/>
              <w:spacing w:after="120" w:before="120" w:line="240" w:lineRule="auto"/>
              <w:jc w:val="both"/>
              <w:rPr>
                <w:rFonts w:ascii="Arial" w:cs="Arial" w:eastAsia="Arial" w:hAnsi="Arial"/>
              </w:rPr>
            </w:pPr>
            <w:r w:rsidDel="00000000" w:rsidR="00000000" w:rsidRPr="00000000">
              <w:rPr>
                <w:rFonts w:ascii="Arial" w:cs="Arial" w:eastAsia="Arial" w:hAnsi="Arial"/>
                <w:rtl w:val="0"/>
              </w:rPr>
              <w:t xml:space="preserve">75% of travel to be undertaken via rail and to reduce working in hard copy by 50% where possible</w:t>
            </w:r>
          </w:p>
        </w:tc>
        <w:tc>
          <w:tcPr>
            <w:shd w:fill="auto" w:val="clear"/>
            <w:tcMar>
              <w:top w:w="100.0" w:type="dxa"/>
              <w:left w:w="100.0" w:type="dxa"/>
              <w:bottom w:w="100.0" w:type="dxa"/>
              <w:right w:w="100.0" w:type="dxa"/>
            </w:tcMar>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N/A</w:t>
            </w:r>
          </w:p>
        </w:tc>
      </w:tr>
    </w:tbl>
    <w:p w:rsidR="00000000" w:rsidDel="00000000" w:rsidP="00000000" w:rsidRDefault="00000000" w:rsidRPr="00000000" w14:paraId="00000062">
      <w:pPr>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63">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The Service Credits shall be calculated on the basis of the following formula:</w:t>
      </w:r>
      <w:r w:rsidDel="00000000" w:rsidR="00000000" w:rsidRPr="00000000">
        <w:rPr>
          <w:rtl w:val="0"/>
        </w:rPr>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64">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x% (actual Service Level performance)  </w:t>
            </w:r>
          </w:p>
        </w:tc>
        <w:tc>
          <w:tcPr/>
          <w:p w:rsidR="00000000" w:rsidDel="00000000" w:rsidP="00000000" w:rsidRDefault="00000000" w:rsidRPr="00000000" w14:paraId="00000065">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6">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x%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67">
            <w:pPr>
              <w:ind w:left="56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notification of complaints - 100% (e.g. actual performance achieved against this Service Level in a Service Period) </w:t>
            </w:r>
          </w:p>
          <w:p w:rsidR="00000000" w:rsidDel="00000000" w:rsidP="00000000" w:rsidRDefault="00000000" w:rsidRPr="00000000" w14:paraId="00000069">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6A">
            <w:pPr>
              <w:ind w:left="2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6C">
            <w:pPr>
              <w:ind w:left="14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 of the Charges payable to the Buyer as Service Credits to be deducted from the next Invoice payable by the Buyer</w:t>
            </w:r>
          </w:p>
          <w:p w:rsidR="00000000" w:rsidDel="00000000" w:rsidP="00000000" w:rsidRDefault="00000000" w:rsidRPr="00000000" w14:paraId="0000006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72">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76">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77">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79">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7A">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7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7E">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240" w:lineRule="auto"/>
        <w:ind w:left="1440"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081">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2"/>
      <w:bookmarkEnd w:id="2"/>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RM6179</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15.0" w:type="dxa"/>
        <w:bottom w:w="100.0" w:type="dxa"/>
        <w:right w:w="115.0" w:type="dxa"/>
      </w:tblCellMar>
    </w:tblPr>
  </w:style>
  <w:style w:type="table" w:styleId="Table2">
    <w:basedOn w:val="TableNormal"/>
    <w:tblPr>
      <w:tblStyleRowBandSize w:val="1"/>
      <w:tblStyleColBandSize w:val="1"/>
      <w:tblCellMar>
        <w:top w:w="100.0" w:type="dxa"/>
        <w:left w:w="115.0" w:type="dxa"/>
        <w:bottom w:w="100.0" w:type="dxa"/>
        <w:right w:w="115.0" w:type="dxa"/>
      </w:tblCellMar>
    </w:tblPr>
  </w:style>
  <w:style w:type="table" w:styleId="Table3">
    <w:basedOn w:val="TableNormal"/>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GZDv03n8FYKwkSxdf0RFBElyQ==">CgMxLjAyCWguMWZvYjl0ZTIIaC5namRneHMyCWguMzBqMHpsbDgAciExUUVqY0pnUnNpcjJMYXBnVTZ1NFZZRmVFdDBFemJNQmk=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